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«18» июля 2025 года </w:t>
        <w:tab/>
        <w:tab/>
        <w:tab/>
        <w:tab/>
        <w:tab/>
        <w:tab/>
        <w:tab/>
        <w:t xml:space="preserve">          №  79/1035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Куртюговой Кристины Викторовны кандидатом в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депутаты Совета муниципального образования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2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Куртюговой Кристины Викторовны,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2, представленные в территориальную избирательную комиссию Успенская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 Зарегистрировать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Куртюгову Кристину Викторовну</w:t>
      </w:r>
      <w:r>
        <w:rPr>
          <w:color w:val="000000"/>
          <w:sz w:val="28"/>
          <w:szCs w:val="28"/>
        </w:rPr>
        <w:t>, 1988 года рождения, работающую в муниципальном бюджетном учреждении «Успенская поселенческая детская библиотека» Успенского сельского поселения Успенского района, директором, выдвинутую ВПП «Единая Россия»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2 18 июля 2025 года в  «16» часов «30»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Куртюговой Кристине Викторовне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267</Words>
  <Characters>1961</Characters>
  <CharactersWithSpaces>2368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2025-07-18T15:47:39Z</cp:lastPrinted>
  <dcterms:modified xsi:type="dcterms:W3CDTF">2025-07-18T15:47:44Z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